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316C" w14:textId="10BED72A" w:rsidR="00E412D8" w:rsidRPr="008142D4" w:rsidRDefault="00D52510" w:rsidP="005E4CD3">
      <w:pPr>
        <w:pStyle w:val="Normal1"/>
        <w:ind w:firstLine="180"/>
        <w:jc w:val="both"/>
        <w:rPr>
          <w:rFonts w:eastAsia="Tahoma"/>
          <w:sz w:val="20"/>
          <w:szCs w:val="20"/>
        </w:rPr>
      </w:pPr>
      <w:r w:rsidRPr="008142D4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8FF8240" wp14:editId="7C672FC8">
                <wp:simplePos x="0" y="0"/>
                <wp:positionH relativeFrom="column">
                  <wp:posOffset>-20955</wp:posOffset>
                </wp:positionH>
                <wp:positionV relativeFrom="paragraph">
                  <wp:posOffset>-314960</wp:posOffset>
                </wp:positionV>
                <wp:extent cx="5615940" cy="1248410"/>
                <wp:effectExtent l="0" t="0" r="22860" b="27940"/>
                <wp:wrapSquare wrapText="bothSides" distT="0" distB="0" distL="0" distR="0"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248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7CE188" w14:textId="77777777" w:rsidR="00E412D8" w:rsidRDefault="00D52510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2"/>
                              </w:rPr>
                              <w:t>Curso: Engenharia Elétrica – Sistemas Elétricos de Potência</w:t>
                            </w:r>
                          </w:p>
                          <w:p w14:paraId="10E4FE9E" w14:textId="4C37DBBA" w:rsidR="00E412D8" w:rsidRDefault="005A533D">
                            <w:pPr>
                              <w:pStyle w:val="Normal1"/>
                              <w:jc w:val="both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2"/>
                              </w:rPr>
                              <w:t>Disciplina: Introdução à Automação de Subestações</w:t>
                            </w:r>
                          </w:p>
                          <w:p w14:paraId="4DEBD57F" w14:textId="527981E3" w:rsidR="00E412D8" w:rsidRDefault="00D52510" w:rsidP="005E4CD3">
                            <w:pPr>
                              <w:pStyle w:val="Normal1"/>
                              <w:jc w:val="both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2"/>
                              </w:rPr>
                              <w:t>Código: TEE-00</w:t>
                            </w:r>
                            <w:r w:rsidR="005E4CD3"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2"/>
                              </w:rPr>
                              <w:t>184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F8240" id="Retângulo: Cantos Arredondados 1" o:spid="_x0000_s1026" style="position:absolute;left:0;text-align:left;margin-left:-1.65pt;margin-top:-24.8pt;width:442.2pt;height:98.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B7CE188" w14:textId="77777777" w:rsidR="00E412D8" w:rsidRDefault="00D52510">
                      <w:pPr>
                        <w:pStyle w:val="Normal1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2"/>
                        </w:rPr>
                        <w:t>Curso: Engenharia Elétrica – Sistemas Elétricos de Potência</w:t>
                      </w:r>
                    </w:p>
                    <w:p w14:paraId="10E4FE9E" w14:textId="4C37DBBA" w:rsidR="00E412D8" w:rsidRDefault="005A533D">
                      <w:pPr>
                        <w:pStyle w:val="Normal1"/>
                        <w:jc w:val="both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2"/>
                        </w:rPr>
                        <w:t>Disciplina: Introdução à Automação de Subestações</w:t>
                      </w:r>
                    </w:p>
                    <w:p w14:paraId="4DEBD57F" w14:textId="527981E3" w:rsidR="00E412D8" w:rsidRDefault="00D52510" w:rsidP="005E4CD3">
                      <w:pPr>
                        <w:pStyle w:val="Normal1"/>
                        <w:jc w:val="both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2"/>
                        </w:rPr>
                        <w:t>Código: TEE-00</w:t>
                      </w:r>
                      <w:r w:rsidR="005E4CD3">
                        <w:rPr>
                          <w:rFonts w:ascii="Tahoma" w:eastAsia="Tahoma" w:hAnsi="Tahoma" w:cs="Tahoma"/>
                          <w:b/>
                          <w:color w:val="000000"/>
                          <w:sz w:val="22"/>
                        </w:rPr>
                        <w:t>184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CE9E714" w14:textId="77777777" w:rsidR="00CD170D" w:rsidRPr="008142D4" w:rsidRDefault="00D52510" w:rsidP="00CD170D">
      <w:pPr>
        <w:pStyle w:val="Normal1"/>
        <w:ind w:left="1418" w:hanging="1276"/>
        <w:jc w:val="both"/>
        <w:rPr>
          <w:rFonts w:eastAsia="Tahoma"/>
          <w:color w:val="000000"/>
          <w:sz w:val="20"/>
          <w:szCs w:val="20"/>
        </w:rPr>
      </w:pPr>
      <w:r w:rsidRPr="008142D4">
        <w:rPr>
          <w:rFonts w:eastAsia="Tahoma"/>
          <w:b/>
          <w:sz w:val="20"/>
          <w:szCs w:val="20"/>
        </w:rPr>
        <w:t>OBJETIVO:</w:t>
      </w:r>
      <w:r w:rsidRPr="008142D4">
        <w:rPr>
          <w:rFonts w:eastAsia="Tahoma"/>
          <w:sz w:val="20"/>
          <w:szCs w:val="20"/>
        </w:rPr>
        <w:tab/>
      </w:r>
      <w:r w:rsidR="00CD170D" w:rsidRPr="008142D4">
        <w:rPr>
          <w:rFonts w:eastAsia="Tahoma"/>
          <w:color w:val="000000"/>
          <w:sz w:val="20"/>
          <w:szCs w:val="20"/>
        </w:rPr>
        <w:t>CAPACITAR O ALUNO EM  ALTERNATIVAS DE SOLUÇÕES PARA SISTEMAS DE AUTOMAÇÃO DE SUBESTAÇÕES (SAS) DE ENERGIA ELÉTRICA, MONITORAMENTO E OPERAÇÃO DE EQUIPAMENTOS E SISTEMAS. APRESENTAR AS PRINCIPAIS TOPOLOGIAS, METODOLOGIAS, PROTOCOLOS E TECNOLOGIAS ATUAIS. CAPACITAR O ALUNO NA CONFIGURAÇÃO E PARAMETRIZAÇÃO DE IEDS DE SUBESTAÇÕES DIGITALIZADAS DE ACORDO COM A NORMA IEC 61850.</w:t>
      </w:r>
    </w:p>
    <w:p w14:paraId="6452EB37" w14:textId="08279DCA" w:rsidR="00E412D8" w:rsidRPr="008142D4" w:rsidRDefault="00E412D8" w:rsidP="00CD170D">
      <w:pPr>
        <w:pStyle w:val="Normal1"/>
        <w:ind w:left="1418" w:hanging="1276"/>
        <w:jc w:val="both"/>
        <w:rPr>
          <w:rFonts w:eastAsia="Tahoma"/>
          <w:b/>
          <w:color w:val="000000"/>
          <w:sz w:val="20"/>
          <w:szCs w:val="20"/>
        </w:rPr>
      </w:pPr>
    </w:p>
    <w:p w14:paraId="5C168E0C" w14:textId="77777777" w:rsidR="00E412D8" w:rsidRPr="008142D4" w:rsidRDefault="00E412D8">
      <w:pPr>
        <w:pStyle w:val="Normal1"/>
        <w:ind w:firstLine="180"/>
        <w:jc w:val="both"/>
        <w:rPr>
          <w:rFonts w:eastAsia="Tahoma"/>
          <w:sz w:val="20"/>
          <w:szCs w:val="20"/>
        </w:rPr>
      </w:pPr>
    </w:p>
    <w:p w14:paraId="68543FDE" w14:textId="77777777" w:rsidR="00E412D8" w:rsidRPr="008142D4" w:rsidRDefault="00D52510">
      <w:pPr>
        <w:pStyle w:val="Normal1"/>
        <w:pBdr>
          <w:top w:val="nil"/>
          <w:left w:val="nil"/>
          <w:bottom w:val="nil"/>
          <w:right w:val="nil"/>
          <w:between w:val="nil"/>
        </w:pBdr>
        <w:ind w:left="1418" w:hanging="1276"/>
        <w:jc w:val="both"/>
        <w:rPr>
          <w:rFonts w:eastAsia="Tahoma"/>
          <w:sz w:val="20"/>
          <w:szCs w:val="20"/>
        </w:rPr>
      </w:pPr>
      <w:r w:rsidRPr="008142D4">
        <w:rPr>
          <w:rFonts w:eastAsia="Tahoma"/>
          <w:b/>
          <w:sz w:val="20"/>
          <w:szCs w:val="20"/>
          <w:u w:val="single"/>
        </w:rPr>
        <w:t>EMENTA</w:t>
      </w:r>
      <w:r w:rsidRPr="008142D4">
        <w:rPr>
          <w:rFonts w:eastAsia="Tahoma"/>
          <w:b/>
          <w:sz w:val="20"/>
          <w:szCs w:val="20"/>
        </w:rPr>
        <w:t>:</w:t>
      </w:r>
      <w:r w:rsidRPr="008142D4">
        <w:rPr>
          <w:rFonts w:eastAsia="Tahoma"/>
          <w:b/>
          <w:sz w:val="20"/>
          <w:szCs w:val="20"/>
        </w:rPr>
        <w:tab/>
      </w:r>
      <w:r w:rsidR="00CD170D" w:rsidRPr="008142D4">
        <w:rPr>
          <w:rFonts w:eastAsia="Tahoma"/>
          <w:sz w:val="20"/>
          <w:szCs w:val="20"/>
        </w:rPr>
        <w:t>CONCEITOS GERAIS DE AUTOMAÇÃO DE SUBESTAÇÕES; PRINCIPAIS EQUIPAMENTOS PARA AUTOMAÇÃO DE SUBESTAÇÕES; PRINCÍPIOS DE COMUNICAÇÃO PARA AUTOMAÇÃO DE SUBESTAÇÕES; PROTOCOLOS SCADA; NORMA IEC 61850; EXPERIMENTAÇÃO, DIAGNÓSTICO E SIMULAÇÃO.</w:t>
      </w:r>
    </w:p>
    <w:p w14:paraId="03231BDE" w14:textId="77777777" w:rsidR="00E412D8" w:rsidRPr="008142D4" w:rsidRDefault="00E412D8">
      <w:pPr>
        <w:pStyle w:val="Normal1"/>
        <w:spacing w:after="20"/>
        <w:ind w:left="806"/>
        <w:jc w:val="both"/>
        <w:rPr>
          <w:rFonts w:eastAsia="Tahoma"/>
          <w:sz w:val="20"/>
          <w:szCs w:val="20"/>
        </w:rPr>
      </w:pPr>
    </w:p>
    <w:p w14:paraId="74F0BC8E" w14:textId="77777777" w:rsidR="00E412D8" w:rsidRPr="008142D4" w:rsidRDefault="00D52510">
      <w:pPr>
        <w:pStyle w:val="Normal1"/>
        <w:ind w:left="1418" w:hanging="1276"/>
        <w:jc w:val="both"/>
        <w:rPr>
          <w:rFonts w:eastAsia="Tahoma"/>
          <w:sz w:val="20"/>
          <w:szCs w:val="20"/>
          <w:u w:val="single"/>
        </w:rPr>
      </w:pPr>
      <w:r w:rsidRPr="008142D4">
        <w:rPr>
          <w:rFonts w:eastAsia="Tahoma"/>
          <w:b/>
          <w:sz w:val="20"/>
          <w:szCs w:val="20"/>
          <w:u w:val="single"/>
        </w:rPr>
        <w:t>PRÉ-REQUISITOS:</w:t>
      </w:r>
    </w:p>
    <w:p w14:paraId="527E9A89" w14:textId="77777777" w:rsidR="00E412D8" w:rsidRPr="008142D4" w:rsidRDefault="00E412D8">
      <w:pPr>
        <w:pStyle w:val="Normal1"/>
        <w:ind w:left="1418" w:hanging="1276"/>
        <w:jc w:val="both"/>
        <w:rPr>
          <w:rFonts w:eastAsia="Tahoma"/>
          <w:sz w:val="20"/>
          <w:szCs w:val="20"/>
          <w:u w:val="single"/>
        </w:rPr>
      </w:pPr>
    </w:p>
    <w:p w14:paraId="5DFB496B" w14:textId="77777777" w:rsidR="00E412D8" w:rsidRPr="008142D4" w:rsidRDefault="00D52510">
      <w:pPr>
        <w:pStyle w:val="Normal1"/>
        <w:ind w:left="1418" w:hanging="1276"/>
        <w:jc w:val="both"/>
        <w:rPr>
          <w:rFonts w:eastAsia="Tahoma"/>
          <w:sz w:val="20"/>
          <w:szCs w:val="20"/>
        </w:rPr>
      </w:pPr>
      <w:r w:rsidRPr="008142D4">
        <w:rPr>
          <w:rFonts w:eastAsia="Tahoma"/>
          <w:b/>
          <w:sz w:val="20"/>
          <w:szCs w:val="20"/>
          <w:u w:val="single"/>
        </w:rPr>
        <w:t>HABILIDADES E COMPETÊNCIAS DESENVOLVIDAS:</w:t>
      </w:r>
      <w:r w:rsidRPr="008142D4">
        <w:rPr>
          <w:rFonts w:eastAsia="Tahoma"/>
          <w:sz w:val="20"/>
          <w:szCs w:val="20"/>
        </w:rPr>
        <w:t xml:space="preserve"> </w:t>
      </w:r>
    </w:p>
    <w:p w14:paraId="0C3C6AEF" w14:textId="77777777" w:rsidR="00E412D8" w:rsidRPr="008142D4" w:rsidRDefault="00E412D8">
      <w:pPr>
        <w:pStyle w:val="Normal1"/>
        <w:ind w:left="1418" w:hanging="1276"/>
        <w:jc w:val="both"/>
        <w:rPr>
          <w:rFonts w:eastAsia="Tahoma"/>
          <w:sz w:val="20"/>
          <w:szCs w:val="20"/>
          <w:u w:val="single"/>
        </w:rPr>
      </w:pPr>
    </w:p>
    <w:tbl>
      <w:tblPr>
        <w:tblStyle w:val="a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2907"/>
        <w:gridCol w:w="2907"/>
      </w:tblGrid>
      <w:tr w:rsidR="00E412D8" w:rsidRPr="005E4CD3" w14:paraId="6A236139" w14:textId="77777777">
        <w:trPr>
          <w:trHeight w:val="507"/>
        </w:trPr>
        <w:tc>
          <w:tcPr>
            <w:tcW w:w="2906" w:type="dxa"/>
            <w:vAlign w:val="center"/>
          </w:tcPr>
          <w:p w14:paraId="04DF1D3B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b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2907" w:type="dxa"/>
            <w:vAlign w:val="center"/>
          </w:tcPr>
          <w:p w14:paraId="7E712211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b/>
                <w:color w:val="000000"/>
                <w:sz w:val="16"/>
                <w:szCs w:val="16"/>
              </w:rPr>
              <w:t>Habilidades e Competências</w:t>
            </w:r>
          </w:p>
        </w:tc>
        <w:tc>
          <w:tcPr>
            <w:tcW w:w="2907" w:type="dxa"/>
            <w:vAlign w:val="center"/>
          </w:tcPr>
          <w:p w14:paraId="5534EADF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b/>
                <w:color w:val="000000"/>
                <w:sz w:val="16"/>
                <w:szCs w:val="16"/>
              </w:rPr>
              <w:t>Desenvolvida na Disciplina? Marque X caso seja desenvolvida ou deixe em branco caso contrário</w:t>
            </w:r>
          </w:p>
        </w:tc>
      </w:tr>
      <w:tr w:rsidR="00E412D8" w:rsidRPr="008142D4" w14:paraId="4E0AFE8F" w14:textId="77777777">
        <w:trPr>
          <w:trHeight w:val="507"/>
        </w:trPr>
        <w:tc>
          <w:tcPr>
            <w:tcW w:w="2906" w:type="dxa"/>
            <w:vAlign w:val="center"/>
          </w:tcPr>
          <w:p w14:paraId="6A55BD58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I</w:t>
            </w:r>
          </w:p>
        </w:tc>
        <w:tc>
          <w:tcPr>
            <w:tcW w:w="2907" w:type="dxa"/>
            <w:vAlign w:val="center"/>
          </w:tcPr>
          <w:p w14:paraId="764DB98C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Aplicar conhecimentos matemáticos, científicos, tecnológicos e instrumentais à engenharia</w:t>
            </w:r>
          </w:p>
        </w:tc>
        <w:tc>
          <w:tcPr>
            <w:tcW w:w="2907" w:type="dxa"/>
            <w:vAlign w:val="center"/>
          </w:tcPr>
          <w:p w14:paraId="1ED4353C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X</w:t>
            </w:r>
          </w:p>
        </w:tc>
      </w:tr>
      <w:tr w:rsidR="00E412D8" w:rsidRPr="008142D4" w14:paraId="79883C5C" w14:textId="77777777">
        <w:trPr>
          <w:trHeight w:val="507"/>
        </w:trPr>
        <w:tc>
          <w:tcPr>
            <w:tcW w:w="2906" w:type="dxa"/>
            <w:vAlign w:val="center"/>
          </w:tcPr>
          <w:p w14:paraId="16D4A3E5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907" w:type="dxa"/>
            <w:vAlign w:val="center"/>
          </w:tcPr>
          <w:p w14:paraId="76A049E7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Projetar e conduzir experimentos e interpretar resultados</w:t>
            </w:r>
          </w:p>
        </w:tc>
        <w:tc>
          <w:tcPr>
            <w:tcW w:w="2907" w:type="dxa"/>
            <w:vAlign w:val="center"/>
          </w:tcPr>
          <w:p w14:paraId="7E400838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X</w:t>
            </w:r>
          </w:p>
        </w:tc>
      </w:tr>
      <w:tr w:rsidR="00E412D8" w:rsidRPr="008142D4" w14:paraId="00C70343" w14:textId="77777777">
        <w:trPr>
          <w:trHeight w:val="507"/>
        </w:trPr>
        <w:tc>
          <w:tcPr>
            <w:tcW w:w="2906" w:type="dxa"/>
            <w:vAlign w:val="center"/>
          </w:tcPr>
          <w:p w14:paraId="7A80848A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907" w:type="dxa"/>
            <w:vAlign w:val="center"/>
          </w:tcPr>
          <w:p w14:paraId="2F698A5C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Conceber, projetar e analisar sistemas, produtos e processos</w:t>
            </w:r>
          </w:p>
        </w:tc>
        <w:tc>
          <w:tcPr>
            <w:tcW w:w="2907" w:type="dxa"/>
            <w:vAlign w:val="center"/>
          </w:tcPr>
          <w:p w14:paraId="7EEDB85F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sz w:val="16"/>
                <w:szCs w:val="16"/>
              </w:rPr>
              <w:t>x</w:t>
            </w:r>
          </w:p>
        </w:tc>
      </w:tr>
      <w:tr w:rsidR="00E412D8" w:rsidRPr="008142D4" w14:paraId="7681209C" w14:textId="77777777">
        <w:trPr>
          <w:trHeight w:val="507"/>
        </w:trPr>
        <w:tc>
          <w:tcPr>
            <w:tcW w:w="2906" w:type="dxa"/>
            <w:vAlign w:val="center"/>
          </w:tcPr>
          <w:p w14:paraId="6DD4C06F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IV</w:t>
            </w:r>
          </w:p>
        </w:tc>
        <w:tc>
          <w:tcPr>
            <w:tcW w:w="2907" w:type="dxa"/>
            <w:vAlign w:val="center"/>
          </w:tcPr>
          <w:p w14:paraId="15E74AC7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Planejar, supervisionar, elaborar e coordenar projetos e serviços de engenharia</w:t>
            </w:r>
          </w:p>
        </w:tc>
        <w:tc>
          <w:tcPr>
            <w:tcW w:w="2907" w:type="dxa"/>
            <w:vAlign w:val="center"/>
          </w:tcPr>
          <w:p w14:paraId="652C7B40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sz w:val="16"/>
                <w:szCs w:val="16"/>
              </w:rPr>
              <w:t>x</w:t>
            </w:r>
          </w:p>
        </w:tc>
      </w:tr>
      <w:tr w:rsidR="00E412D8" w:rsidRPr="008142D4" w14:paraId="26B50FF3" w14:textId="77777777">
        <w:trPr>
          <w:trHeight w:val="507"/>
        </w:trPr>
        <w:tc>
          <w:tcPr>
            <w:tcW w:w="2906" w:type="dxa"/>
            <w:vAlign w:val="center"/>
          </w:tcPr>
          <w:p w14:paraId="52CD031F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V</w:t>
            </w:r>
          </w:p>
        </w:tc>
        <w:tc>
          <w:tcPr>
            <w:tcW w:w="2907" w:type="dxa"/>
            <w:vAlign w:val="center"/>
          </w:tcPr>
          <w:p w14:paraId="1DFD9F3F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Identificar, formular e resolver problemas de engenharia</w:t>
            </w:r>
          </w:p>
        </w:tc>
        <w:tc>
          <w:tcPr>
            <w:tcW w:w="2907" w:type="dxa"/>
            <w:vAlign w:val="center"/>
          </w:tcPr>
          <w:p w14:paraId="25D2E557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X</w:t>
            </w:r>
          </w:p>
        </w:tc>
      </w:tr>
      <w:tr w:rsidR="00E412D8" w:rsidRPr="008142D4" w14:paraId="7EF163A0" w14:textId="77777777">
        <w:trPr>
          <w:trHeight w:val="507"/>
        </w:trPr>
        <w:tc>
          <w:tcPr>
            <w:tcW w:w="2906" w:type="dxa"/>
            <w:vAlign w:val="center"/>
          </w:tcPr>
          <w:p w14:paraId="0B31B2D9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VI</w:t>
            </w:r>
          </w:p>
        </w:tc>
        <w:tc>
          <w:tcPr>
            <w:tcW w:w="2907" w:type="dxa"/>
            <w:vAlign w:val="center"/>
          </w:tcPr>
          <w:p w14:paraId="0CA6F2F2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Desenvolver e/ou utilizar novas ferramentas e técnicas</w:t>
            </w:r>
          </w:p>
        </w:tc>
        <w:tc>
          <w:tcPr>
            <w:tcW w:w="2907" w:type="dxa"/>
            <w:vAlign w:val="center"/>
          </w:tcPr>
          <w:p w14:paraId="7BC2E5A8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X</w:t>
            </w:r>
          </w:p>
        </w:tc>
      </w:tr>
      <w:tr w:rsidR="00E412D8" w:rsidRPr="008142D4" w14:paraId="349BAE58" w14:textId="77777777">
        <w:trPr>
          <w:trHeight w:val="507"/>
        </w:trPr>
        <w:tc>
          <w:tcPr>
            <w:tcW w:w="2906" w:type="dxa"/>
            <w:vAlign w:val="center"/>
          </w:tcPr>
          <w:p w14:paraId="0D87EC3C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VII</w:t>
            </w:r>
          </w:p>
        </w:tc>
        <w:tc>
          <w:tcPr>
            <w:tcW w:w="2907" w:type="dxa"/>
            <w:vAlign w:val="center"/>
          </w:tcPr>
          <w:p w14:paraId="327E7E0F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Supervisionar a operação e a manutenção de sistemas</w:t>
            </w:r>
          </w:p>
        </w:tc>
        <w:tc>
          <w:tcPr>
            <w:tcW w:w="2907" w:type="dxa"/>
            <w:vAlign w:val="center"/>
          </w:tcPr>
          <w:p w14:paraId="39B6CB22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sz w:val="16"/>
                <w:szCs w:val="16"/>
              </w:rPr>
              <w:t>x</w:t>
            </w:r>
          </w:p>
        </w:tc>
      </w:tr>
      <w:tr w:rsidR="00E412D8" w:rsidRPr="008142D4" w14:paraId="127AB6AF" w14:textId="77777777">
        <w:trPr>
          <w:trHeight w:val="507"/>
        </w:trPr>
        <w:tc>
          <w:tcPr>
            <w:tcW w:w="2906" w:type="dxa"/>
            <w:vAlign w:val="center"/>
          </w:tcPr>
          <w:p w14:paraId="537C3B63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2907" w:type="dxa"/>
            <w:vAlign w:val="center"/>
          </w:tcPr>
          <w:p w14:paraId="5FFF2180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Avaliar criticamente a operação e a manutenção de sistemas</w:t>
            </w:r>
          </w:p>
        </w:tc>
        <w:tc>
          <w:tcPr>
            <w:tcW w:w="2907" w:type="dxa"/>
            <w:vAlign w:val="center"/>
          </w:tcPr>
          <w:p w14:paraId="59B511DA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sz w:val="16"/>
                <w:szCs w:val="16"/>
              </w:rPr>
              <w:t>x</w:t>
            </w:r>
          </w:p>
        </w:tc>
      </w:tr>
      <w:tr w:rsidR="00E412D8" w:rsidRPr="008142D4" w14:paraId="4CB56FEC" w14:textId="77777777">
        <w:trPr>
          <w:trHeight w:val="507"/>
        </w:trPr>
        <w:tc>
          <w:tcPr>
            <w:tcW w:w="2906" w:type="dxa"/>
            <w:vAlign w:val="center"/>
          </w:tcPr>
          <w:p w14:paraId="08BF0CED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IX</w:t>
            </w:r>
          </w:p>
        </w:tc>
        <w:tc>
          <w:tcPr>
            <w:tcW w:w="2907" w:type="dxa"/>
            <w:vAlign w:val="center"/>
          </w:tcPr>
          <w:p w14:paraId="245FA02A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Comunicar-se eficientemente nas formas escrita, oral e gráfica</w:t>
            </w:r>
          </w:p>
        </w:tc>
        <w:tc>
          <w:tcPr>
            <w:tcW w:w="2907" w:type="dxa"/>
            <w:vAlign w:val="center"/>
          </w:tcPr>
          <w:p w14:paraId="03902A5A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X</w:t>
            </w:r>
          </w:p>
        </w:tc>
      </w:tr>
      <w:tr w:rsidR="00E412D8" w:rsidRPr="008142D4" w14:paraId="760CFB8C" w14:textId="77777777">
        <w:trPr>
          <w:trHeight w:val="507"/>
        </w:trPr>
        <w:tc>
          <w:tcPr>
            <w:tcW w:w="2906" w:type="dxa"/>
            <w:vAlign w:val="center"/>
          </w:tcPr>
          <w:p w14:paraId="67939789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07" w:type="dxa"/>
            <w:vAlign w:val="center"/>
          </w:tcPr>
          <w:p w14:paraId="242944B4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Atuar em equipes multidisciplinares</w:t>
            </w:r>
          </w:p>
        </w:tc>
        <w:tc>
          <w:tcPr>
            <w:tcW w:w="2907" w:type="dxa"/>
            <w:vAlign w:val="center"/>
          </w:tcPr>
          <w:p w14:paraId="5E3D7060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sz w:val="16"/>
                <w:szCs w:val="16"/>
              </w:rPr>
              <w:t>x</w:t>
            </w:r>
          </w:p>
        </w:tc>
      </w:tr>
      <w:tr w:rsidR="00E412D8" w:rsidRPr="005E4CD3" w14:paraId="6EE8A408" w14:textId="77777777">
        <w:trPr>
          <w:trHeight w:val="507"/>
        </w:trPr>
        <w:tc>
          <w:tcPr>
            <w:tcW w:w="2906" w:type="dxa"/>
            <w:vAlign w:val="center"/>
          </w:tcPr>
          <w:p w14:paraId="6B1B208B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XI</w:t>
            </w:r>
          </w:p>
        </w:tc>
        <w:tc>
          <w:tcPr>
            <w:tcW w:w="2907" w:type="dxa"/>
            <w:vAlign w:val="center"/>
          </w:tcPr>
          <w:p w14:paraId="0ABC69EA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Compreender e aplicar a ética e responsabilidade profissionais</w:t>
            </w:r>
          </w:p>
        </w:tc>
        <w:tc>
          <w:tcPr>
            <w:tcW w:w="2907" w:type="dxa"/>
            <w:vAlign w:val="center"/>
          </w:tcPr>
          <w:p w14:paraId="7937DB65" w14:textId="77777777" w:rsidR="00E412D8" w:rsidRPr="008142D4" w:rsidRDefault="00E412D8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</w:p>
        </w:tc>
      </w:tr>
      <w:tr w:rsidR="00E412D8" w:rsidRPr="005E4CD3" w14:paraId="1DA6F48F" w14:textId="77777777">
        <w:trPr>
          <w:trHeight w:val="507"/>
        </w:trPr>
        <w:tc>
          <w:tcPr>
            <w:tcW w:w="2906" w:type="dxa"/>
            <w:vAlign w:val="center"/>
          </w:tcPr>
          <w:p w14:paraId="6DE9A7F0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XII</w:t>
            </w:r>
          </w:p>
        </w:tc>
        <w:tc>
          <w:tcPr>
            <w:tcW w:w="2907" w:type="dxa"/>
            <w:vAlign w:val="center"/>
          </w:tcPr>
          <w:p w14:paraId="37DC84B8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Avaliar o impacto das atividades da engenharia no contexto social e ambiental</w:t>
            </w:r>
          </w:p>
        </w:tc>
        <w:tc>
          <w:tcPr>
            <w:tcW w:w="2907" w:type="dxa"/>
            <w:vAlign w:val="center"/>
          </w:tcPr>
          <w:p w14:paraId="21DC5B4A" w14:textId="77777777" w:rsidR="00E412D8" w:rsidRPr="008142D4" w:rsidRDefault="00E412D8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</w:p>
        </w:tc>
      </w:tr>
      <w:tr w:rsidR="00E412D8" w:rsidRPr="005E4CD3" w14:paraId="569129C0" w14:textId="77777777">
        <w:trPr>
          <w:trHeight w:val="507"/>
        </w:trPr>
        <w:tc>
          <w:tcPr>
            <w:tcW w:w="2906" w:type="dxa"/>
            <w:vAlign w:val="center"/>
          </w:tcPr>
          <w:p w14:paraId="2900E126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XIII</w:t>
            </w:r>
          </w:p>
        </w:tc>
        <w:tc>
          <w:tcPr>
            <w:tcW w:w="2907" w:type="dxa"/>
            <w:vAlign w:val="center"/>
          </w:tcPr>
          <w:p w14:paraId="21CA486C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Avaliar a viabilidade econômica de projetos de engenharia</w:t>
            </w:r>
          </w:p>
        </w:tc>
        <w:tc>
          <w:tcPr>
            <w:tcW w:w="2907" w:type="dxa"/>
            <w:vAlign w:val="center"/>
          </w:tcPr>
          <w:p w14:paraId="68491400" w14:textId="77777777" w:rsidR="00E412D8" w:rsidRPr="008142D4" w:rsidRDefault="00E412D8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</w:p>
        </w:tc>
      </w:tr>
      <w:tr w:rsidR="00E412D8" w:rsidRPr="008142D4" w14:paraId="1C14EFE6" w14:textId="77777777">
        <w:trPr>
          <w:trHeight w:val="507"/>
        </w:trPr>
        <w:tc>
          <w:tcPr>
            <w:tcW w:w="2906" w:type="dxa"/>
            <w:vAlign w:val="center"/>
          </w:tcPr>
          <w:p w14:paraId="19FB9E38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XIV</w:t>
            </w:r>
          </w:p>
        </w:tc>
        <w:tc>
          <w:tcPr>
            <w:tcW w:w="2907" w:type="dxa"/>
            <w:vAlign w:val="center"/>
          </w:tcPr>
          <w:p w14:paraId="64F17A4C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Assumir a postura de permanente busca de atualização profissional</w:t>
            </w:r>
          </w:p>
        </w:tc>
        <w:tc>
          <w:tcPr>
            <w:tcW w:w="2907" w:type="dxa"/>
            <w:vAlign w:val="center"/>
          </w:tcPr>
          <w:p w14:paraId="1EED990B" w14:textId="77777777" w:rsidR="00E412D8" w:rsidRPr="008142D4" w:rsidRDefault="00D52510">
            <w:pPr>
              <w:pStyle w:val="Normal1"/>
              <w:jc w:val="center"/>
              <w:rPr>
                <w:rFonts w:eastAsia="Tahoma"/>
                <w:color w:val="000000"/>
                <w:sz w:val="16"/>
                <w:szCs w:val="16"/>
              </w:rPr>
            </w:pPr>
            <w:r w:rsidRPr="008142D4">
              <w:rPr>
                <w:rFonts w:eastAsia="Tahoma"/>
                <w:color w:val="000000"/>
                <w:sz w:val="16"/>
                <w:szCs w:val="16"/>
              </w:rPr>
              <w:t>X</w:t>
            </w:r>
          </w:p>
        </w:tc>
      </w:tr>
    </w:tbl>
    <w:p w14:paraId="6A44072B" w14:textId="77777777" w:rsidR="00E412D8" w:rsidRPr="008142D4" w:rsidRDefault="00D52510">
      <w:pPr>
        <w:pStyle w:val="Normal1"/>
        <w:spacing w:before="120"/>
        <w:ind w:firstLine="181"/>
        <w:jc w:val="both"/>
        <w:rPr>
          <w:rFonts w:eastAsia="Tahoma"/>
          <w:sz w:val="22"/>
          <w:szCs w:val="22"/>
          <w:u w:val="single"/>
        </w:rPr>
      </w:pPr>
      <w:r w:rsidRPr="008142D4">
        <w:rPr>
          <w:rFonts w:eastAsia="Tahoma"/>
          <w:b/>
          <w:sz w:val="22"/>
          <w:szCs w:val="22"/>
          <w:u w:val="single"/>
        </w:rPr>
        <w:lastRenderedPageBreak/>
        <w:t xml:space="preserve">Programa Pleno </w:t>
      </w:r>
    </w:p>
    <w:p w14:paraId="4ED3FACD" w14:textId="77777777" w:rsidR="00E412D8" w:rsidRPr="008142D4" w:rsidRDefault="00E412D8">
      <w:pPr>
        <w:pStyle w:val="Normal1"/>
        <w:spacing w:before="120"/>
        <w:ind w:firstLine="181"/>
        <w:jc w:val="both"/>
        <w:rPr>
          <w:rFonts w:eastAsia="Tahoma"/>
          <w:sz w:val="22"/>
          <w:szCs w:val="22"/>
          <w:u w:val="single"/>
        </w:rPr>
      </w:pPr>
    </w:p>
    <w:p w14:paraId="35495FD1" w14:textId="77777777" w:rsidR="00E412D8" w:rsidRPr="008142D4" w:rsidRDefault="00D52510">
      <w:pPr>
        <w:pStyle w:val="Normal1"/>
        <w:widowControl w:val="0"/>
        <w:numPr>
          <w:ilvl w:val="0"/>
          <w:numId w:val="1"/>
        </w:numPr>
        <w:spacing w:before="60" w:line="335" w:lineRule="auto"/>
        <w:rPr>
          <w:rFonts w:eastAsia="Tahoma"/>
          <w:sz w:val="20"/>
          <w:szCs w:val="20"/>
          <w:u w:val="single"/>
        </w:rPr>
      </w:pPr>
      <w:r w:rsidRPr="008142D4">
        <w:rPr>
          <w:rFonts w:eastAsia="Tahoma"/>
          <w:b/>
          <w:sz w:val="22"/>
          <w:szCs w:val="22"/>
          <w:u w:val="single"/>
        </w:rPr>
        <w:t>Conceitos Gerais de automação de Subestações</w:t>
      </w:r>
    </w:p>
    <w:p w14:paraId="5AEDAA7E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Introdução</w:t>
      </w:r>
    </w:p>
    <w:p w14:paraId="6AB28E3F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Conceitos Gerais</w:t>
      </w:r>
    </w:p>
    <w:p w14:paraId="5F07E4FF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Pirâmide da Automação</w:t>
      </w:r>
    </w:p>
    <w:p w14:paraId="4CE8E9DF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Subestação Tradicional x Subestação Digital</w:t>
      </w:r>
    </w:p>
    <w:p w14:paraId="10C03452" w14:textId="77777777" w:rsidR="005A533D" w:rsidRPr="008142D4" w:rsidRDefault="005A533D" w:rsidP="005A533D">
      <w:pPr>
        <w:pStyle w:val="Normal1"/>
        <w:widowControl w:val="0"/>
        <w:spacing w:line="335" w:lineRule="auto"/>
        <w:ind w:left="792"/>
        <w:rPr>
          <w:rFonts w:eastAsia="Proxima Nova"/>
          <w:color w:val="231F20"/>
          <w:sz w:val="22"/>
          <w:szCs w:val="22"/>
        </w:rPr>
      </w:pPr>
    </w:p>
    <w:p w14:paraId="1E60E4AF" w14:textId="77777777" w:rsidR="00E412D8" w:rsidRPr="008142D4" w:rsidRDefault="00D52510">
      <w:pPr>
        <w:pStyle w:val="Normal1"/>
        <w:widowControl w:val="0"/>
        <w:numPr>
          <w:ilvl w:val="0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Tahoma"/>
          <w:b/>
          <w:sz w:val="22"/>
          <w:szCs w:val="22"/>
          <w:u w:val="single"/>
        </w:rPr>
        <w:t>Principais equipamentos para automação de subestações</w:t>
      </w:r>
    </w:p>
    <w:p w14:paraId="0631CACB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Equipamentos primários</w:t>
      </w:r>
    </w:p>
    <w:p w14:paraId="3F3D9095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Interfaces para automação: TP, TC, entrada e saída digital, RTD e outros transdutores</w:t>
      </w:r>
    </w:p>
    <w:p w14:paraId="37E07EDE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 xml:space="preserve">UTR, CLP, relé de proteção, medidor de energia, controlador de </w:t>
      </w:r>
      <w:proofErr w:type="spellStart"/>
      <w:r w:rsidRPr="008142D4">
        <w:rPr>
          <w:rFonts w:eastAsia="Proxima Nova"/>
          <w:i/>
          <w:color w:val="231F20"/>
          <w:sz w:val="22"/>
          <w:szCs w:val="22"/>
        </w:rPr>
        <w:t>bay</w:t>
      </w:r>
      <w:proofErr w:type="spellEnd"/>
      <w:r w:rsidRPr="008142D4">
        <w:rPr>
          <w:rFonts w:eastAsia="Proxima Nova"/>
          <w:i/>
          <w:color w:val="231F20"/>
          <w:sz w:val="22"/>
          <w:szCs w:val="22"/>
        </w:rPr>
        <w:t xml:space="preserve">, </w:t>
      </w:r>
      <w:r w:rsidRPr="008142D4">
        <w:rPr>
          <w:rFonts w:eastAsia="Proxima Nova"/>
          <w:color w:val="231F20"/>
          <w:sz w:val="22"/>
          <w:szCs w:val="22"/>
        </w:rPr>
        <w:t>etc.</w:t>
      </w:r>
    </w:p>
    <w:p w14:paraId="3A6FE337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Equipamentos de comunicação</w:t>
      </w:r>
    </w:p>
    <w:p w14:paraId="716C8347" w14:textId="77777777" w:rsidR="00E412D8" w:rsidRPr="008142D4" w:rsidRDefault="00D52510">
      <w:pPr>
        <w:pStyle w:val="Normal1"/>
        <w:widowControl w:val="0"/>
        <w:numPr>
          <w:ilvl w:val="2"/>
          <w:numId w:val="1"/>
        </w:numPr>
        <w:spacing w:line="335" w:lineRule="auto"/>
        <w:rPr>
          <w:rFonts w:eastAsia="Proxima Nova"/>
          <w:sz w:val="22"/>
          <w:szCs w:val="22"/>
        </w:rPr>
      </w:pPr>
      <w:r w:rsidRPr="008142D4">
        <w:rPr>
          <w:rFonts w:eastAsia="Proxima Nova"/>
          <w:i/>
          <w:color w:val="231F20"/>
          <w:sz w:val="22"/>
          <w:szCs w:val="22"/>
        </w:rPr>
        <w:t>switches, r</w:t>
      </w:r>
      <w:r w:rsidRPr="008142D4">
        <w:rPr>
          <w:rFonts w:eastAsia="Proxima Nova"/>
          <w:color w:val="231F20"/>
          <w:sz w:val="22"/>
          <w:szCs w:val="22"/>
        </w:rPr>
        <w:t xml:space="preserve">oteadores, modems, multiplexadores, </w:t>
      </w:r>
      <w:proofErr w:type="spellStart"/>
      <w:r w:rsidRPr="008142D4">
        <w:rPr>
          <w:rFonts w:eastAsia="Proxima Nova"/>
          <w:i/>
          <w:color w:val="231F20"/>
          <w:sz w:val="22"/>
          <w:szCs w:val="22"/>
        </w:rPr>
        <w:t>transceivers</w:t>
      </w:r>
      <w:proofErr w:type="spellEnd"/>
      <w:r w:rsidRPr="008142D4">
        <w:rPr>
          <w:rFonts w:eastAsia="Proxima Nova"/>
          <w:i/>
          <w:color w:val="231F20"/>
          <w:sz w:val="22"/>
          <w:szCs w:val="22"/>
        </w:rPr>
        <w:t>, gateways</w:t>
      </w:r>
      <w:r w:rsidRPr="008142D4">
        <w:rPr>
          <w:rFonts w:eastAsia="Proxima Nova"/>
          <w:color w:val="231F20"/>
          <w:sz w:val="22"/>
          <w:szCs w:val="22"/>
        </w:rPr>
        <w:t xml:space="preserve">, rádios, </w:t>
      </w:r>
      <w:proofErr w:type="spellStart"/>
      <w:r w:rsidRPr="008142D4">
        <w:rPr>
          <w:rFonts w:eastAsia="Proxima Nova"/>
          <w:color w:val="231F20"/>
          <w:sz w:val="22"/>
          <w:szCs w:val="22"/>
        </w:rPr>
        <w:t>etc</w:t>
      </w:r>
      <w:proofErr w:type="spellEnd"/>
    </w:p>
    <w:p w14:paraId="6AF533E0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Níveis hierárquicos de um sistema de automação de subestação</w:t>
      </w:r>
    </w:p>
    <w:p w14:paraId="5BD40698" w14:textId="77777777" w:rsidR="00E412D8" w:rsidRPr="008142D4" w:rsidRDefault="00D52510">
      <w:pPr>
        <w:pStyle w:val="Normal1"/>
        <w:widowControl w:val="0"/>
        <w:numPr>
          <w:ilvl w:val="2"/>
          <w:numId w:val="1"/>
        </w:numPr>
        <w:spacing w:line="335" w:lineRule="auto"/>
        <w:rPr>
          <w:rFonts w:eastAsia="Proxima Nova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nível 0, 1, 2 e 3</w:t>
      </w:r>
    </w:p>
    <w:p w14:paraId="700DD68C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SCADA</w:t>
      </w:r>
    </w:p>
    <w:p w14:paraId="38A3DE1E" w14:textId="77777777" w:rsidR="005A533D" w:rsidRPr="008142D4" w:rsidRDefault="005A533D" w:rsidP="005A533D">
      <w:pPr>
        <w:pStyle w:val="Normal1"/>
        <w:widowControl w:val="0"/>
        <w:spacing w:line="335" w:lineRule="auto"/>
        <w:ind w:left="792"/>
        <w:rPr>
          <w:rFonts w:eastAsia="Proxima Nova"/>
          <w:color w:val="231F20"/>
          <w:sz w:val="22"/>
          <w:szCs w:val="22"/>
        </w:rPr>
      </w:pPr>
    </w:p>
    <w:p w14:paraId="5DECB730" w14:textId="77777777" w:rsidR="00E412D8" w:rsidRPr="008142D4" w:rsidRDefault="00D52510">
      <w:pPr>
        <w:pStyle w:val="Normal1"/>
        <w:widowControl w:val="0"/>
        <w:numPr>
          <w:ilvl w:val="0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Tahoma"/>
          <w:b/>
          <w:sz w:val="22"/>
          <w:szCs w:val="22"/>
          <w:u w:val="single"/>
        </w:rPr>
        <w:t>Princípios de comunicação para automação de subestações</w:t>
      </w:r>
    </w:p>
    <w:p w14:paraId="1E630E7B" w14:textId="77777777" w:rsidR="005A533D" w:rsidRPr="008142D4" w:rsidRDefault="00D52510" w:rsidP="005A533D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Modelos de camadas OSI, Pilha TCP/IP e EPA</w:t>
      </w:r>
    </w:p>
    <w:p w14:paraId="776812E8" w14:textId="592F341D" w:rsidR="00E412D8" w:rsidRPr="008142D4" w:rsidRDefault="00D52510" w:rsidP="005A533D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Modelos de disseminação de informação</w:t>
      </w:r>
    </w:p>
    <w:p w14:paraId="6EAA579F" w14:textId="29FF5074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Camada física e enlace</w:t>
      </w:r>
      <w:r w:rsidR="005A533D" w:rsidRPr="008142D4">
        <w:rPr>
          <w:rFonts w:eastAsia="Proxima Nova"/>
          <w:color w:val="231F20"/>
          <w:sz w:val="22"/>
          <w:szCs w:val="22"/>
        </w:rPr>
        <w:t xml:space="preserve"> em subestações</w:t>
      </w:r>
    </w:p>
    <w:p w14:paraId="17F06D05" w14:textId="77777777" w:rsidR="00E412D8" w:rsidRPr="008142D4" w:rsidRDefault="00D52510">
      <w:pPr>
        <w:pStyle w:val="Normal1"/>
        <w:widowControl w:val="0"/>
        <w:numPr>
          <w:ilvl w:val="2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Cabeamento metálico, fibra óptica, redes sem fio</w:t>
      </w:r>
    </w:p>
    <w:p w14:paraId="7D930ED6" w14:textId="77777777" w:rsidR="00E412D8" w:rsidRPr="008142D4" w:rsidRDefault="00D52510">
      <w:pPr>
        <w:pStyle w:val="Normal1"/>
        <w:widowControl w:val="0"/>
        <w:numPr>
          <w:ilvl w:val="2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 xml:space="preserve">EIA-232, EIA-485 e Ethernet </w:t>
      </w:r>
    </w:p>
    <w:p w14:paraId="16F3C52C" w14:textId="77777777" w:rsidR="005A533D" w:rsidRPr="008142D4" w:rsidRDefault="00D52510" w:rsidP="005A533D">
      <w:pPr>
        <w:pStyle w:val="Normal1"/>
        <w:widowControl w:val="0"/>
        <w:numPr>
          <w:ilvl w:val="2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VLAN - IEEE 802.q, priorização de mensagens -  IEEE 802.p</w:t>
      </w:r>
    </w:p>
    <w:p w14:paraId="200EC521" w14:textId="77777777" w:rsidR="005A533D" w:rsidRPr="008142D4" w:rsidRDefault="005A533D" w:rsidP="005A533D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C</w:t>
      </w:r>
      <w:r w:rsidR="00D52510" w:rsidRPr="008142D4">
        <w:rPr>
          <w:rFonts w:eastAsia="Proxima Nova"/>
          <w:color w:val="231F20"/>
          <w:sz w:val="22"/>
          <w:szCs w:val="22"/>
        </w:rPr>
        <w:t>amada de Rede</w:t>
      </w:r>
      <w:r w:rsidRPr="008142D4">
        <w:rPr>
          <w:rFonts w:eastAsia="Proxima Nova"/>
          <w:color w:val="231F20"/>
          <w:sz w:val="22"/>
          <w:szCs w:val="22"/>
        </w:rPr>
        <w:t xml:space="preserve"> em subestações</w:t>
      </w:r>
    </w:p>
    <w:p w14:paraId="08628428" w14:textId="77777777" w:rsidR="005A533D" w:rsidRPr="008142D4" w:rsidRDefault="005A533D" w:rsidP="005A533D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Camada</w:t>
      </w:r>
      <w:r w:rsidR="00D52510" w:rsidRPr="008142D4">
        <w:rPr>
          <w:rFonts w:eastAsia="Proxima Nova"/>
          <w:color w:val="231F20"/>
          <w:sz w:val="22"/>
          <w:szCs w:val="22"/>
        </w:rPr>
        <w:t xml:space="preserve"> de Transporte </w:t>
      </w:r>
      <w:r w:rsidRPr="008142D4">
        <w:rPr>
          <w:rFonts w:eastAsia="Proxima Nova"/>
          <w:color w:val="231F20"/>
          <w:sz w:val="22"/>
          <w:szCs w:val="22"/>
        </w:rPr>
        <w:t xml:space="preserve">e de </w:t>
      </w:r>
      <w:r w:rsidR="00D52510" w:rsidRPr="008142D4">
        <w:rPr>
          <w:rFonts w:eastAsia="Proxima Nova"/>
          <w:color w:val="231F20"/>
          <w:sz w:val="22"/>
          <w:szCs w:val="22"/>
        </w:rPr>
        <w:t>Aplicação</w:t>
      </w:r>
      <w:r w:rsidRPr="008142D4">
        <w:rPr>
          <w:rFonts w:eastAsia="Proxima Nova"/>
          <w:color w:val="231F20"/>
          <w:sz w:val="22"/>
          <w:szCs w:val="22"/>
        </w:rPr>
        <w:t xml:space="preserve"> em Subestações</w:t>
      </w:r>
    </w:p>
    <w:p w14:paraId="1F144D42" w14:textId="46749E5D" w:rsidR="00E412D8" w:rsidRPr="008142D4" w:rsidRDefault="00D52510" w:rsidP="005A533D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Conceitos gerais:</w:t>
      </w:r>
    </w:p>
    <w:p w14:paraId="68E4B0D2" w14:textId="77777777" w:rsidR="00E412D8" w:rsidRPr="008142D4" w:rsidRDefault="00D52510">
      <w:pPr>
        <w:pStyle w:val="Normal1"/>
        <w:widowControl w:val="0"/>
        <w:numPr>
          <w:ilvl w:val="2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 xml:space="preserve">LAN, WAN, </w:t>
      </w:r>
      <w:r w:rsidRPr="008142D4">
        <w:rPr>
          <w:rFonts w:eastAsia="Proxima Nova"/>
          <w:i/>
          <w:color w:val="231F20"/>
          <w:sz w:val="22"/>
          <w:szCs w:val="22"/>
        </w:rPr>
        <w:t>gateway</w:t>
      </w:r>
    </w:p>
    <w:p w14:paraId="018D04D0" w14:textId="77777777" w:rsidR="005A533D" w:rsidRPr="008142D4" w:rsidRDefault="005A533D" w:rsidP="005A533D">
      <w:pPr>
        <w:pStyle w:val="Normal1"/>
        <w:widowControl w:val="0"/>
        <w:spacing w:line="335" w:lineRule="auto"/>
        <w:ind w:left="1224"/>
        <w:rPr>
          <w:rFonts w:eastAsia="Proxima Nova"/>
          <w:color w:val="231F20"/>
          <w:sz w:val="22"/>
          <w:szCs w:val="22"/>
        </w:rPr>
      </w:pPr>
    </w:p>
    <w:p w14:paraId="28604BF2" w14:textId="77777777" w:rsidR="00E412D8" w:rsidRPr="008142D4" w:rsidRDefault="00D52510">
      <w:pPr>
        <w:pStyle w:val="Normal1"/>
        <w:widowControl w:val="0"/>
        <w:numPr>
          <w:ilvl w:val="0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Tahoma"/>
          <w:b/>
          <w:sz w:val="22"/>
          <w:szCs w:val="22"/>
          <w:u w:val="single"/>
        </w:rPr>
        <w:t>Protocolos SCADA</w:t>
      </w:r>
    </w:p>
    <w:p w14:paraId="0101AF8E" w14:textId="79004B7B" w:rsidR="005A533D" w:rsidRPr="008142D4" w:rsidRDefault="005A533D" w:rsidP="005A533D">
      <w:pPr>
        <w:pStyle w:val="Normal1"/>
        <w:widowControl w:val="0"/>
        <w:numPr>
          <w:ilvl w:val="1"/>
          <w:numId w:val="1"/>
        </w:numPr>
        <w:spacing w:line="335" w:lineRule="auto"/>
        <w:textDirection w:val="btLr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 xml:space="preserve">DNP3, </w:t>
      </w:r>
      <w:proofErr w:type="spellStart"/>
      <w:r w:rsidRPr="008142D4">
        <w:rPr>
          <w:rFonts w:eastAsia="Proxima Nova"/>
          <w:color w:val="231F20"/>
          <w:sz w:val="22"/>
          <w:szCs w:val="22"/>
        </w:rPr>
        <w:t>Modbus</w:t>
      </w:r>
      <w:proofErr w:type="spellEnd"/>
      <w:r w:rsidRPr="008142D4">
        <w:rPr>
          <w:rFonts w:eastAsia="Proxima Nova"/>
          <w:color w:val="231F20"/>
          <w:sz w:val="22"/>
          <w:szCs w:val="22"/>
        </w:rPr>
        <w:t>, 101, IEC 60870-5-101/104</w:t>
      </w:r>
    </w:p>
    <w:p w14:paraId="27ABB313" w14:textId="77777777" w:rsidR="005A533D" w:rsidRPr="008142D4" w:rsidRDefault="005A533D" w:rsidP="005A533D">
      <w:pPr>
        <w:pStyle w:val="Normal1"/>
        <w:widowControl w:val="0"/>
        <w:spacing w:line="335" w:lineRule="auto"/>
        <w:ind w:left="360"/>
        <w:rPr>
          <w:rFonts w:eastAsia="Proxima Nova"/>
          <w:color w:val="231F20"/>
          <w:sz w:val="22"/>
          <w:szCs w:val="22"/>
        </w:rPr>
      </w:pPr>
    </w:p>
    <w:p w14:paraId="114E4CB9" w14:textId="77777777" w:rsidR="00E412D8" w:rsidRPr="008142D4" w:rsidRDefault="00D52510">
      <w:pPr>
        <w:pStyle w:val="Normal1"/>
        <w:widowControl w:val="0"/>
        <w:numPr>
          <w:ilvl w:val="0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Tahoma"/>
          <w:b/>
          <w:sz w:val="22"/>
          <w:szCs w:val="22"/>
          <w:u w:val="single"/>
        </w:rPr>
        <w:t>Norma IEC 61850</w:t>
      </w:r>
    </w:p>
    <w:p w14:paraId="03E20577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Conceitos básicos</w:t>
      </w:r>
    </w:p>
    <w:p w14:paraId="10F858CF" w14:textId="3B6A2D99" w:rsidR="00E412D8" w:rsidRPr="008142D4" w:rsidRDefault="005A533D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Modelo de I</w:t>
      </w:r>
      <w:r w:rsidR="00D52510" w:rsidRPr="008142D4">
        <w:rPr>
          <w:rFonts w:eastAsia="Proxima Nova"/>
          <w:color w:val="231F20"/>
          <w:sz w:val="22"/>
          <w:szCs w:val="22"/>
        </w:rPr>
        <w:t>nformação</w:t>
      </w:r>
    </w:p>
    <w:p w14:paraId="4ECBA64C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MMS</w:t>
      </w:r>
    </w:p>
    <w:p w14:paraId="75B7A1B3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 xml:space="preserve">GOOSE </w:t>
      </w:r>
    </w:p>
    <w:p w14:paraId="12F05E6C" w14:textId="40F4F74E" w:rsidR="005A533D" w:rsidRPr="008142D4" w:rsidRDefault="005A533D" w:rsidP="005A533D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Sampled Values</w:t>
      </w:r>
    </w:p>
    <w:p w14:paraId="5F4F4B1E" w14:textId="6331CA37" w:rsidR="005A533D" w:rsidRPr="008142D4" w:rsidRDefault="005A533D" w:rsidP="005A533D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lastRenderedPageBreak/>
        <w:t>Linguagem de configuração</w:t>
      </w:r>
      <w:r w:rsidR="00D52510" w:rsidRPr="008142D4">
        <w:rPr>
          <w:rFonts w:eastAsia="Proxima Nova"/>
          <w:color w:val="231F20"/>
          <w:sz w:val="22"/>
          <w:szCs w:val="22"/>
        </w:rPr>
        <w:t xml:space="preserve"> padronizada (SCL)</w:t>
      </w:r>
    </w:p>
    <w:p w14:paraId="4352ECB2" w14:textId="77777777" w:rsidR="005A533D" w:rsidRPr="008142D4" w:rsidRDefault="005A533D" w:rsidP="005A533D">
      <w:pPr>
        <w:pStyle w:val="Normal1"/>
        <w:widowControl w:val="0"/>
        <w:spacing w:line="335" w:lineRule="auto"/>
        <w:ind w:left="360"/>
        <w:rPr>
          <w:rFonts w:eastAsia="Proxima Nova"/>
          <w:color w:val="231F20"/>
          <w:sz w:val="22"/>
          <w:szCs w:val="22"/>
        </w:rPr>
      </w:pPr>
    </w:p>
    <w:p w14:paraId="7E62CAC4" w14:textId="77777777" w:rsidR="00E412D8" w:rsidRPr="008142D4" w:rsidRDefault="00D52510">
      <w:pPr>
        <w:pStyle w:val="Normal1"/>
        <w:widowControl w:val="0"/>
        <w:numPr>
          <w:ilvl w:val="0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Tahoma"/>
          <w:b/>
          <w:sz w:val="22"/>
          <w:szCs w:val="22"/>
          <w:u w:val="single"/>
        </w:rPr>
        <w:t>Experimentação, diagnóstico e simulação.</w:t>
      </w:r>
    </w:p>
    <w:p w14:paraId="2F09B8F1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Ferramentas de diagnóstico</w:t>
      </w:r>
    </w:p>
    <w:p w14:paraId="2308B338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Ferramentas de teste e avaliação</w:t>
      </w:r>
    </w:p>
    <w:p w14:paraId="1FD031A1" w14:textId="77777777" w:rsidR="00E412D8" w:rsidRPr="008142D4" w:rsidRDefault="00D52510">
      <w:pPr>
        <w:pStyle w:val="Normal1"/>
        <w:widowControl w:val="0"/>
        <w:numPr>
          <w:ilvl w:val="1"/>
          <w:numId w:val="1"/>
        </w:numPr>
        <w:spacing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Ferramentas de monitoramento</w:t>
      </w:r>
    </w:p>
    <w:p w14:paraId="110CAF81" w14:textId="7CE50174" w:rsidR="00E412D8" w:rsidRPr="008142D4" w:rsidRDefault="00D52510">
      <w:pPr>
        <w:pStyle w:val="Normal1"/>
        <w:widowControl w:val="0"/>
        <w:numPr>
          <w:ilvl w:val="1"/>
          <w:numId w:val="1"/>
        </w:numPr>
        <w:spacing w:after="480" w:line="335" w:lineRule="auto"/>
        <w:rPr>
          <w:rFonts w:eastAsia="Proxima Nova"/>
          <w:color w:val="231F20"/>
          <w:sz w:val="22"/>
          <w:szCs w:val="22"/>
        </w:rPr>
      </w:pPr>
      <w:r w:rsidRPr="008142D4">
        <w:rPr>
          <w:rFonts w:eastAsia="Proxima Nova"/>
          <w:color w:val="231F20"/>
          <w:sz w:val="22"/>
          <w:szCs w:val="22"/>
        </w:rPr>
        <w:t>Scripts de Teste</w:t>
      </w:r>
      <w:r w:rsidR="005A533D" w:rsidRPr="008142D4">
        <w:rPr>
          <w:rFonts w:eastAsia="Proxima Nova"/>
          <w:color w:val="231F20"/>
          <w:sz w:val="22"/>
          <w:szCs w:val="22"/>
        </w:rPr>
        <w:t xml:space="preserve"> </w:t>
      </w:r>
    </w:p>
    <w:p w14:paraId="2EB59C51" w14:textId="77777777" w:rsidR="00E412D8" w:rsidRPr="008142D4" w:rsidRDefault="00E412D8">
      <w:pPr>
        <w:pStyle w:val="Normal1"/>
        <w:jc w:val="both"/>
        <w:rPr>
          <w:rFonts w:eastAsia="Tahoma"/>
          <w:sz w:val="20"/>
          <w:szCs w:val="20"/>
        </w:rPr>
      </w:pPr>
    </w:p>
    <w:p w14:paraId="083A889A" w14:textId="77777777" w:rsidR="00E412D8" w:rsidRPr="008142D4" w:rsidRDefault="00D52510">
      <w:pPr>
        <w:pStyle w:val="Normal1"/>
        <w:spacing w:before="120"/>
        <w:ind w:firstLine="181"/>
        <w:jc w:val="both"/>
        <w:rPr>
          <w:rFonts w:eastAsia="Tahoma"/>
          <w:sz w:val="22"/>
          <w:szCs w:val="22"/>
        </w:rPr>
      </w:pPr>
      <w:r w:rsidRPr="008142D4">
        <w:rPr>
          <w:rFonts w:eastAsia="Tahoma"/>
          <w:b/>
          <w:sz w:val="22"/>
          <w:szCs w:val="22"/>
        </w:rPr>
        <w:t>MÓDULOS: 30</w:t>
      </w:r>
    </w:p>
    <w:p w14:paraId="48971FC3" w14:textId="77777777" w:rsidR="00E412D8" w:rsidRPr="008142D4" w:rsidRDefault="00E412D8">
      <w:pPr>
        <w:pStyle w:val="Normal1"/>
        <w:spacing w:before="120"/>
        <w:ind w:firstLine="181"/>
        <w:jc w:val="both"/>
        <w:rPr>
          <w:rFonts w:eastAsia="Tahoma"/>
          <w:sz w:val="22"/>
          <w:szCs w:val="22"/>
          <w:u w:val="single"/>
        </w:rPr>
      </w:pPr>
    </w:p>
    <w:p w14:paraId="68AA4EEF" w14:textId="77777777" w:rsidR="00E412D8" w:rsidRPr="008142D4" w:rsidRDefault="00D52510">
      <w:pPr>
        <w:pStyle w:val="Normal1"/>
        <w:spacing w:before="120"/>
        <w:ind w:firstLine="181"/>
        <w:jc w:val="both"/>
        <w:rPr>
          <w:rFonts w:eastAsia="Tahoma"/>
          <w:sz w:val="22"/>
          <w:szCs w:val="22"/>
        </w:rPr>
      </w:pPr>
      <w:r w:rsidRPr="008142D4">
        <w:rPr>
          <w:rFonts w:eastAsia="Tahoma"/>
          <w:b/>
          <w:sz w:val="22"/>
          <w:szCs w:val="22"/>
          <w:u w:val="single"/>
        </w:rPr>
        <w:t>Bibliografia Básica</w:t>
      </w:r>
    </w:p>
    <w:p w14:paraId="68A31185" w14:textId="77777777" w:rsidR="00E412D8" w:rsidRPr="008142D4" w:rsidRDefault="00E412D8">
      <w:pPr>
        <w:pStyle w:val="Normal1"/>
        <w:spacing w:before="120"/>
        <w:ind w:firstLine="181"/>
        <w:jc w:val="both"/>
        <w:rPr>
          <w:rFonts w:eastAsia="Tahoma"/>
          <w:sz w:val="20"/>
          <w:szCs w:val="20"/>
        </w:rPr>
      </w:pPr>
    </w:p>
    <w:p w14:paraId="52E40E55" w14:textId="77777777" w:rsidR="00E412D8" w:rsidRPr="008142D4" w:rsidRDefault="00D5251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ahoma"/>
          <w:sz w:val="20"/>
          <w:szCs w:val="20"/>
        </w:rPr>
      </w:pPr>
      <w:r w:rsidRPr="008142D4">
        <w:rPr>
          <w:rFonts w:eastAsia="Tahoma"/>
          <w:sz w:val="20"/>
          <w:szCs w:val="20"/>
        </w:rPr>
        <w:t>[1] Yona Lopes, Introdução a Automação de Subestações, Apostila da Disciplina, 2021.</w:t>
      </w:r>
    </w:p>
    <w:p w14:paraId="1206A5C1" w14:textId="77777777" w:rsidR="00E412D8" w:rsidRPr="008142D4" w:rsidRDefault="00D5251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ahoma"/>
          <w:sz w:val="20"/>
          <w:szCs w:val="20"/>
        </w:rPr>
      </w:pPr>
      <w:r w:rsidRPr="005E4CD3">
        <w:rPr>
          <w:rFonts w:eastAsia="Tahoma"/>
          <w:sz w:val="20"/>
          <w:szCs w:val="20"/>
          <w:lang w:val="en-US"/>
        </w:rPr>
        <w:t xml:space="preserve">[2] Gordon Clarke, Deon Reynders, Edwin Wright. </w:t>
      </w:r>
      <w:proofErr w:type="spellStart"/>
      <w:r w:rsidRPr="008142D4">
        <w:rPr>
          <w:rFonts w:eastAsia="Tahoma"/>
          <w:sz w:val="20"/>
          <w:szCs w:val="20"/>
        </w:rPr>
        <w:t>Practical</w:t>
      </w:r>
      <w:proofErr w:type="spellEnd"/>
      <w:r w:rsidRPr="008142D4">
        <w:rPr>
          <w:rFonts w:eastAsia="Tahoma"/>
          <w:sz w:val="20"/>
          <w:szCs w:val="20"/>
        </w:rPr>
        <w:t xml:space="preserve"> </w:t>
      </w:r>
      <w:proofErr w:type="spellStart"/>
      <w:r w:rsidRPr="008142D4">
        <w:rPr>
          <w:rFonts w:eastAsia="Tahoma"/>
          <w:sz w:val="20"/>
          <w:szCs w:val="20"/>
        </w:rPr>
        <w:t>Modern</w:t>
      </w:r>
      <w:proofErr w:type="spellEnd"/>
      <w:r w:rsidRPr="008142D4">
        <w:rPr>
          <w:rFonts w:eastAsia="Tahoma"/>
          <w:sz w:val="20"/>
          <w:szCs w:val="20"/>
        </w:rPr>
        <w:t xml:space="preserve"> SCADA </w:t>
      </w:r>
      <w:proofErr w:type="spellStart"/>
      <w:r w:rsidRPr="008142D4">
        <w:rPr>
          <w:rFonts w:eastAsia="Tahoma"/>
          <w:sz w:val="20"/>
          <w:szCs w:val="20"/>
        </w:rPr>
        <w:t>Protocols</w:t>
      </w:r>
      <w:proofErr w:type="spellEnd"/>
      <w:r w:rsidRPr="008142D4">
        <w:rPr>
          <w:rFonts w:eastAsia="Tahoma"/>
          <w:sz w:val="20"/>
          <w:szCs w:val="20"/>
        </w:rPr>
        <w:t xml:space="preserve">, </w:t>
      </w:r>
      <w:proofErr w:type="spellStart"/>
      <w:r w:rsidRPr="008142D4">
        <w:rPr>
          <w:rFonts w:eastAsia="Tahoma"/>
          <w:sz w:val="20"/>
          <w:szCs w:val="20"/>
        </w:rPr>
        <w:t>Newnes</w:t>
      </w:r>
      <w:proofErr w:type="spellEnd"/>
      <w:r w:rsidRPr="008142D4">
        <w:rPr>
          <w:rFonts w:eastAsia="Tahoma"/>
          <w:sz w:val="20"/>
          <w:szCs w:val="20"/>
        </w:rPr>
        <w:t xml:space="preserve">, 2003, ISBN 9780750657990. </w:t>
      </w:r>
    </w:p>
    <w:p w14:paraId="24118C8C" w14:textId="77777777" w:rsidR="00E412D8" w:rsidRPr="008142D4" w:rsidRDefault="00D5251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Proxima Nova"/>
          <w:sz w:val="22"/>
          <w:szCs w:val="22"/>
        </w:rPr>
      </w:pPr>
      <w:r w:rsidRPr="008142D4">
        <w:rPr>
          <w:rFonts w:eastAsia="Tahoma"/>
          <w:sz w:val="20"/>
          <w:szCs w:val="20"/>
        </w:rPr>
        <w:t xml:space="preserve">[3] </w:t>
      </w:r>
      <w:proofErr w:type="spellStart"/>
      <w:r w:rsidRPr="008142D4">
        <w:rPr>
          <w:rFonts w:eastAsia="Tahoma"/>
          <w:sz w:val="20"/>
          <w:szCs w:val="20"/>
        </w:rPr>
        <w:t>Kurose</w:t>
      </w:r>
      <w:proofErr w:type="spellEnd"/>
      <w:r w:rsidRPr="008142D4">
        <w:rPr>
          <w:rFonts w:eastAsia="Tahoma"/>
          <w:sz w:val="20"/>
          <w:szCs w:val="20"/>
        </w:rPr>
        <w:t>, J. F., Ross, K. W., 2010. Redes de Computadores e a Internet - Uma abordagem Top-</w:t>
      </w:r>
      <w:proofErr w:type="spellStart"/>
      <w:r w:rsidRPr="008142D4">
        <w:rPr>
          <w:rFonts w:eastAsia="Tahoma"/>
          <w:sz w:val="20"/>
          <w:szCs w:val="20"/>
        </w:rPr>
        <w:t>down</w:t>
      </w:r>
      <w:proofErr w:type="spellEnd"/>
      <w:r w:rsidRPr="008142D4">
        <w:rPr>
          <w:rFonts w:eastAsia="Tahoma"/>
          <w:sz w:val="20"/>
          <w:szCs w:val="20"/>
        </w:rPr>
        <w:t xml:space="preserve">, 5ª Edição, Pearson </w:t>
      </w:r>
      <w:proofErr w:type="spellStart"/>
      <w:r w:rsidRPr="008142D4">
        <w:rPr>
          <w:rFonts w:eastAsia="Tahoma"/>
          <w:sz w:val="20"/>
          <w:szCs w:val="20"/>
        </w:rPr>
        <w:t>Education</w:t>
      </w:r>
      <w:proofErr w:type="spellEnd"/>
      <w:r w:rsidRPr="008142D4">
        <w:rPr>
          <w:rFonts w:eastAsia="Tahoma"/>
          <w:sz w:val="20"/>
          <w:szCs w:val="20"/>
        </w:rPr>
        <w:t xml:space="preserve">. </w:t>
      </w:r>
    </w:p>
    <w:p w14:paraId="50498983" w14:textId="77777777" w:rsidR="00E412D8" w:rsidRPr="008142D4" w:rsidRDefault="00E412D8">
      <w:pPr>
        <w:pStyle w:val="Normal1"/>
        <w:spacing w:line="360" w:lineRule="auto"/>
        <w:jc w:val="both"/>
        <w:rPr>
          <w:rFonts w:eastAsia="Tahoma"/>
          <w:sz w:val="20"/>
          <w:szCs w:val="20"/>
        </w:rPr>
      </w:pPr>
    </w:p>
    <w:p w14:paraId="302D3857" w14:textId="77777777" w:rsidR="00E412D8" w:rsidRPr="008142D4" w:rsidRDefault="00D52510">
      <w:pPr>
        <w:pStyle w:val="Normal1"/>
        <w:spacing w:before="120"/>
        <w:ind w:firstLine="181"/>
        <w:jc w:val="both"/>
        <w:rPr>
          <w:rFonts w:eastAsia="Tahoma"/>
          <w:sz w:val="20"/>
          <w:szCs w:val="20"/>
        </w:rPr>
      </w:pPr>
      <w:r w:rsidRPr="008142D4">
        <w:rPr>
          <w:rFonts w:eastAsia="Tahoma"/>
          <w:b/>
          <w:sz w:val="22"/>
          <w:szCs w:val="22"/>
          <w:u w:val="single"/>
        </w:rPr>
        <w:t>Bibliografia Complementar</w:t>
      </w:r>
    </w:p>
    <w:p w14:paraId="51D71B99" w14:textId="77777777" w:rsidR="00E412D8" w:rsidRPr="008142D4" w:rsidRDefault="00E412D8">
      <w:pPr>
        <w:pStyle w:val="Normal1"/>
        <w:spacing w:line="360" w:lineRule="auto"/>
        <w:ind w:left="720"/>
        <w:jc w:val="both"/>
        <w:rPr>
          <w:rFonts w:eastAsia="Tahoma"/>
          <w:sz w:val="20"/>
          <w:szCs w:val="20"/>
        </w:rPr>
      </w:pPr>
    </w:p>
    <w:p w14:paraId="444AAD0D" w14:textId="77777777" w:rsidR="00E412D8" w:rsidRPr="008142D4" w:rsidRDefault="00D5251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ahoma"/>
          <w:sz w:val="20"/>
          <w:szCs w:val="20"/>
        </w:rPr>
      </w:pPr>
      <w:r w:rsidRPr="008142D4">
        <w:rPr>
          <w:rFonts w:eastAsia="Tahoma"/>
          <w:sz w:val="20"/>
          <w:szCs w:val="20"/>
        </w:rPr>
        <w:t xml:space="preserve">[1] </w:t>
      </w:r>
      <w:hyperlink r:id="rId6">
        <w:r w:rsidRPr="008142D4">
          <w:rPr>
            <w:rFonts w:eastAsia="Tahoma"/>
            <w:sz w:val="20"/>
            <w:szCs w:val="20"/>
          </w:rPr>
          <w:t xml:space="preserve">Andrew S. </w:t>
        </w:r>
        <w:proofErr w:type="spellStart"/>
        <w:r w:rsidRPr="008142D4">
          <w:rPr>
            <w:rFonts w:eastAsia="Tahoma"/>
            <w:sz w:val="20"/>
            <w:szCs w:val="20"/>
          </w:rPr>
          <w:t>Tanenbaum</w:t>
        </w:r>
        <w:proofErr w:type="spellEnd"/>
      </w:hyperlink>
      <w:r w:rsidRPr="008142D4">
        <w:rPr>
          <w:rFonts w:eastAsia="Tahoma"/>
          <w:sz w:val="20"/>
          <w:szCs w:val="20"/>
        </w:rPr>
        <w:t xml:space="preserve">, </w:t>
      </w:r>
      <w:hyperlink r:id="rId7">
        <w:r w:rsidRPr="008142D4">
          <w:rPr>
            <w:rFonts w:eastAsia="Tahoma"/>
            <w:sz w:val="20"/>
            <w:szCs w:val="20"/>
          </w:rPr>
          <w:t xml:space="preserve">David </w:t>
        </w:r>
        <w:proofErr w:type="spellStart"/>
        <w:r w:rsidRPr="008142D4">
          <w:rPr>
            <w:rFonts w:eastAsia="Tahoma"/>
            <w:sz w:val="20"/>
            <w:szCs w:val="20"/>
          </w:rPr>
          <w:t>Wetherall</w:t>
        </w:r>
        <w:proofErr w:type="spellEnd"/>
      </w:hyperlink>
      <w:r w:rsidRPr="008142D4">
        <w:rPr>
          <w:rFonts w:eastAsia="Tahoma"/>
          <w:sz w:val="20"/>
          <w:szCs w:val="20"/>
        </w:rPr>
        <w:t>. Redes de Computadores, Pearson Universidades; 5ª edição/ 2011, ISBN 857605924X</w:t>
      </w:r>
    </w:p>
    <w:p w14:paraId="7FDD97D9" w14:textId="77777777" w:rsidR="00E412D8" w:rsidRPr="005E4CD3" w:rsidRDefault="00D5251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ahoma"/>
          <w:sz w:val="20"/>
          <w:szCs w:val="20"/>
          <w:lang w:val="en-US"/>
        </w:rPr>
      </w:pPr>
      <w:r w:rsidRPr="008142D4">
        <w:rPr>
          <w:rFonts w:eastAsia="Tahoma"/>
          <w:sz w:val="20"/>
          <w:szCs w:val="20"/>
        </w:rPr>
        <w:t xml:space="preserve">[2] Cobus Strauss. </w:t>
      </w:r>
      <w:r w:rsidRPr="005E4CD3">
        <w:rPr>
          <w:rFonts w:eastAsia="Tahoma"/>
          <w:sz w:val="20"/>
          <w:szCs w:val="20"/>
          <w:lang w:val="en-US"/>
        </w:rPr>
        <w:t>Practical Electrical Network Automation and Communication Systems,</w:t>
      </w:r>
    </w:p>
    <w:p w14:paraId="73174EA6" w14:textId="15F541AB" w:rsidR="00E412D8" w:rsidRPr="008142D4" w:rsidRDefault="00D5251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Proxima Nova"/>
          <w:sz w:val="22"/>
          <w:szCs w:val="22"/>
        </w:rPr>
      </w:pPr>
      <w:proofErr w:type="spellStart"/>
      <w:r w:rsidRPr="008142D4">
        <w:rPr>
          <w:rFonts w:eastAsia="Tahoma"/>
          <w:sz w:val="20"/>
          <w:szCs w:val="20"/>
        </w:rPr>
        <w:t>Newnes</w:t>
      </w:r>
      <w:proofErr w:type="spellEnd"/>
      <w:r w:rsidRPr="008142D4">
        <w:rPr>
          <w:rFonts w:eastAsia="Tahoma"/>
          <w:sz w:val="20"/>
          <w:szCs w:val="20"/>
        </w:rPr>
        <w:t>,</w:t>
      </w:r>
      <w:r w:rsidR="005A533D" w:rsidRPr="008142D4">
        <w:rPr>
          <w:rFonts w:eastAsia="Tahoma"/>
          <w:sz w:val="20"/>
          <w:szCs w:val="20"/>
        </w:rPr>
        <w:t xml:space="preserve"> </w:t>
      </w:r>
      <w:r w:rsidRPr="008142D4">
        <w:rPr>
          <w:rFonts w:eastAsia="Tahoma"/>
          <w:sz w:val="20"/>
          <w:szCs w:val="20"/>
        </w:rPr>
        <w:t>2003", ISBN 978-0-7506-5801-0.</w:t>
      </w:r>
    </w:p>
    <w:p w14:paraId="60312905" w14:textId="77777777" w:rsidR="00E412D8" w:rsidRPr="008142D4" w:rsidRDefault="00E412D8">
      <w:pPr>
        <w:pStyle w:val="Normal1"/>
        <w:spacing w:line="360" w:lineRule="auto"/>
        <w:jc w:val="both"/>
        <w:rPr>
          <w:rFonts w:eastAsia="Arial"/>
          <w:b/>
          <w:color w:val="0F1111"/>
          <w:sz w:val="21"/>
          <w:szCs w:val="21"/>
          <w:highlight w:val="white"/>
        </w:rPr>
      </w:pPr>
    </w:p>
    <w:sectPr w:rsidR="00E412D8" w:rsidRPr="008142D4">
      <w:pgSz w:w="11906" w:h="16838"/>
      <w:pgMar w:top="127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01AD5"/>
    <w:multiLevelType w:val="multilevel"/>
    <w:tmpl w:val="3CCAA3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2D8"/>
    <w:rsid w:val="005A533D"/>
    <w:rsid w:val="005E4CD3"/>
    <w:rsid w:val="008142D4"/>
    <w:rsid w:val="00CD170D"/>
    <w:rsid w:val="00D52510"/>
    <w:rsid w:val="00E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5189A"/>
  <w15:docId w15:val="{39DF4637-E1CA-4E86-A521-6D0E2C96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table" w:customStyle="1" w:styleId="Tabelacomgrade1">
    <w:name w:val="Tabela com grade1"/>
    <w:basedOn w:val="Tabe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mazon.com.br/s/ref=dp_byline_sr_book_2?ie=UTF8&amp;field-author=David+Wetherall&amp;text=David+Wetherall&amp;sort=relevancerank&amp;search-alias=stripbook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com.br/Andrew-S-Tanenbaum/e/B000AQ1UBW/ref=dp_byline_cont_book_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Wn+mQ6xPfMTModulnfMPVTJk2Q==">AMUW2mV7clGYlyOwHY1mmk2QRsQ9YeJY7CLEHh7dqAqMNhVEXeAtF33lAOr/itp0QnBT23xRzTDCNcCjSJIcL+GmY9F1fcY4lPR0Yc1/Tp7mt5+6Wm9EIeU=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632</Words>
  <Characters>3418</Characters>
  <Application>Microsoft Office Word</Application>
  <DocSecurity>0</DocSecurity>
  <Lines>28</Lines>
  <Paragraphs>8</Paragraphs>
  <ScaleCrop>false</ScaleCrop>
  <Company>UFF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Hugo</dc:creator>
  <cp:lastModifiedBy>loren</cp:lastModifiedBy>
  <cp:revision>6</cp:revision>
  <dcterms:created xsi:type="dcterms:W3CDTF">2018-07-26T21:49:00Z</dcterms:created>
  <dcterms:modified xsi:type="dcterms:W3CDTF">2021-05-19T18:03:00Z</dcterms:modified>
</cp:coreProperties>
</file>